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501" w:lineRule="exact"/>
        <w:ind w:left="578"/>
        <w:rPr>
          <w:rFonts w:hint="eastAsia" w:ascii="Noto Sans Mono CJK JP Regular" w:eastAsia="宋体"/>
          <w:lang w:val="en-US" w:eastAsia="zh-CN"/>
        </w:rPr>
      </w:pPr>
      <w:r>
        <w:rPr>
          <w:rFonts w:hint="eastAsia" w:ascii="Noto Sans Mono CJK JP Regular" w:eastAsia="Noto Sans Mono CJK JP Regular"/>
          <w:spacing w:val="-24"/>
        </w:rPr>
        <w:t xml:space="preserve">附件 </w:t>
      </w:r>
      <w:r>
        <w:rPr>
          <w:rFonts w:hint="eastAsia" w:ascii="Noto Sans Mono CJK JP Regular" w:eastAsia="宋体"/>
          <w:spacing w:val="-24"/>
          <w:lang w:val="en-US" w:eastAsia="zh-CN"/>
        </w:rPr>
        <w:t>1</w:t>
      </w:r>
    </w:p>
    <w:p>
      <w:pPr>
        <w:pStyle w:val="4"/>
        <w:spacing w:before="13"/>
        <w:rPr>
          <w:rFonts w:ascii="Noto Sans Mono CJK JP Regular"/>
          <w:sz w:val="18"/>
        </w:rPr>
      </w:pPr>
      <w:r>
        <w:br w:type="column"/>
      </w:r>
    </w:p>
    <w:p>
      <w:pPr>
        <w:spacing w:before="0" w:line="220" w:lineRule="auto"/>
        <w:ind w:left="578" w:right="2090" w:firstLine="0"/>
        <w:jc w:val="center"/>
        <w:rPr>
          <w:rFonts w:hint="eastAsia" w:ascii="宋体" w:hAnsi="宋体" w:eastAsia="宋体" w:cs="宋体"/>
          <w:sz w:val="36"/>
        </w:rPr>
      </w:pPr>
      <w:bookmarkStart w:id="0" w:name="_GoBack"/>
      <w:r>
        <w:rPr>
          <w:rFonts w:hint="eastAsia" w:ascii="宋体" w:hAnsi="宋体" w:eastAsia="宋体" w:cs="宋体"/>
          <w:sz w:val="36"/>
        </w:rPr>
        <w:t>财政部关于印发《支出经济分类科目改革方案》的通知</w:t>
      </w:r>
    </w:p>
    <w:bookmarkEnd w:id="0"/>
    <w:p>
      <w:pPr>
        <w:pStyle w:val="3"/>
        <w:spacing w:before="183"/>
        <w:ind w:left="577" w:right="2090"/>
        <w:jc w:val="center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财预〔2017</w:t>
      </w:r>
      <w:r>
        <w:rPr>
          <w:rFonts w:hint="eastAsia" w:ascii="宋体" w:hAnsi="宋体" w:eastAsia="宋体" w:cs="宋体"/>
          <w:spacing w:val="8"/>
        </w:rPr>
        <w:t xml:space="preserve">〕 </w:t>
      </w:r>
      <w:r>
        <w:rPr>
          <w:rFonts w:hint="eastAsia" w:ascii="宋体" w:hAnsi="宋体" w:eastAsia="宋体" w:cs="宋体"/>
        </w:rPr>
        <w:t>98</w:t>
      </w:r>
      <w:r>
        <w:rPr>
          <w:rFonts w:hint="eastAsia" w:ascii="宋体" w:hAnsi="宋体" w:eastAsia="宋体" w:cs="宋体"/>
          <w:spacing w:val="-14"/>
        </w:rPr>
        <w:t xml:space="preserve"> 号</w:t>
      </w:r>
    </w:p>
    <w:p>
      <w:pPr>
        <w:spacing w:after="0"/>
        <w:jc w:val="center"/>
        <w:rPr>
          <w:rFonts w:hint="eastAsia" w:ascii="宋体" w:hAnsi="宋体" w:eastAsia="宋体" w:cs="宋体"/>
        </w:rPr>
        <w:sectPr>
          <w:pgSz w:w="11910" w:h="16840"/>
          <w:pgMar w:top="1360" w:right="980" w:bottom="1180" w:left="840" w:header="0" w:footer="910" w:gutter="0"/>
          <w:cols w:equalWidth="0" w:num="2">
            <w:col w:w="1390" w:space="265"/>
            <w:col w:w="8435"/>
          </w:cols>
        </w:sectPr>
      </w:pPr>
    </w:p>
    <w:p>
      <w:pPr>
        <w:pStyle w:val="4"/>
        <w:spacing w:before="3"/>
        <w:rPr>
          <w:rFonts w:hint="eastAsia" w:ascii="宋体" w:hAnsi="宋体" w:eastAsia="宋体" w:cs="宋体"/>
          <w:sz w:val="8"/>
        </w:rPr>
      </w:pPr>
    </w:p>
    <w:p>
      <w:pPr>
        <w:pStyle w:val="4"/>
        <w:spacing w:before="21" w:line="184" w:lineRule="auto"/>
        <w:ind w:left="578" w:right="301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spacing w:val="-4"/>
          <w:w w:val="95"/>
        </w:rPr>
        <w:t xml:space="preserve">党中央有关部门，国务院各部委、各直属机构，军委后勤保障部，高法院， </w:t>
      </w:r>
      <w:r>
        <w:rPr>
          <w:rFonts w:hint="eastAsia" w:ascii="宋体" w:hAnsi="宋体" w:eastAsia="宋体" w:cs="宋体"/>
          <w:w w:val="99"/>
        </w:rPr>
        <w:t>高</w:t>
      </w:r>
      <w:r>
        <w:rPr>
          <w:rFonts w:hint="eastAsia" w:ascii="宋体" w:hAnsi="宋体" w:eastAsia="宋体" w:cs="宋体"/>
          <w:spacing w:val="-5"/>
          <w:w w:val="99"/>
        </w:rPr>
        <w:t>检院，各省、自治区、直辖市、计划单列市财政厅</w:t>
      </w:r>
      <w:r>
        <w:rPr>
          <w:rFonts w:hint="eastAsia" w:ascii="宋体" w:hAnsi="宋体" w:eastAsia="宋体" w:cs="宋体"/>
          <w:w w:val="99"/>
        </w:rPr>
        <w:t>（局</w:t>
      </w:r>
      <w:r>
        <w:rPr>
          <w:rFonts w:hint="eastAsia" w:ascii="宋体" w:hAnsi="宋体" w:eastAsia="宋体" w:cs="宋体"/>
          <w:spacing w:val="-141"/>
          <w:w w:val="99"/>
        </w:rPr>
        <w:t>）</w:t>
      </w:r>
      <w:r>
        <w:rPr>
          <w:rFonts w:hint="eastAsia" w:ascii="宋体" w:hAnsi="宋体" w:eastAsia="宋体" w:cs="宋体"/>
          <w:spacing w:val="-2"/>
          <w:w w:val="99"/>
        </w:rPr>
        <w:t>，新疆生产建设</w:t>
      </w:r>
      <w:r>
        <w:rPr>
          <w:rFonts w:hint="eastAsia" w:ascii="宋体" w:hAnsi="宋体" w:eastAsia="宋体" w:cs="宋体"/>
        </w:rPr>
        <w:t>兵团财务局：</w:t>
      </w:r>
    </w:p>
    <w:p>
      <w:pPr>
        <w:pStyle w:val="4"/>
        <w:spacing w:line="182" w:lineRule="auto"/>
        <w:ind w:left="578" w:right="407" w:firstLine="56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spacing w:val="-12"/>
          <w:w w:val="95"/>
        </w:rPr>
        <w:t xml:space="preserve">为了贯彻落实《预算法》，推动建立全面规范、公开透明的预算制度，  </w:t>
      </w:r>
      <w:r>
        <w:rPr>
          <w:rFonts w:hint="eastAsia" w:ascii="宋体" w:hAnsi="宋体" w:eastAsia="宋体" w:cs="宋体"/>
          <w:spacing w:val="-24"/>
        </w:rPr>
        <w:t xml:space="preserve">财政部在 </w:t>
      </w:r>
      <w:r>
        <w:rPr>
          <w:rFonts w:hint="eastAsia" w:ascii="宋体" w:hAnsi="宋体" w:eastAsia="宋体" w:cs="宋体"/>
        </w:rPr>
        <w:t>2016</w:t>
      </w:r>
      <w:r>
        <w:rPr>
          <w:rFonts w:hint="eastAsia" w:ascii="宋体" w:hAnsi="宋体" w:eastAsia="宋体" w:cs="宋体"/>
          <w:spacing w:val="-49"/>
        </w:rPr>
        <w:t xml:space="preserve"> 年 </w:t>
      </w:r>
      <w:r>
        <w:rPr>
          <w:rFonts w:hint="eastAsia" w:ascii="宋体" w:hAnsi="宋体" w:eastAsia="宋体" w:cs="宋体"/>
        </w:rPr>
        <w:t>10</w:t>
      </w:r>
      <w:r>
        <w:rPr>
          <w:rFonts w:hint="eastAsia" w:ascii="宋体" w:hAnsi="宋体" w:eastAsia="宋体" w:cs="宋体"/>
          <w:spacing w:val="-16"/>
        </w:rPr>
        <w:t xml:space="preserve"> 月发布的《支出经济分类科目改革试行方案》</w:t>
      </w:r>
      <w:r>
        <w:rPr>
          <w:rFonts w:hint="eastAsia" w:ascii="宋体" w:hAnsi="宋体" w:eastAsia="宋体" w:cs="宋体"/>
        </w:rPr>
        <w:t>（财预</w:t>
      </w:r>
    </w:p>
    <w:p>
      <w:pPr>
        <w:pStyle w:val="4"/>
        <w:spacing w:before="1" w:line="182" w:lineRule="auto"/>
        <w:ind w:left="578" w:right="297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〔2016</w:t>
      </w:r>
      <w:r>
        <w:rPr>
          <w:rFonts w:hint="eastAsia" w:ascii="宋体" w:hAnsi="宋体" w:eastAsia="宋体" w:cs="宋体"/>
          <w:spacing w:val="-21"/>
        </w:rPr>
        <w:t>〕</w:t>
      </w:r>
      <w:r>
        <w:rPr>
          <w:rFonts w:hint="eastAsia" w:ascii="宋体" w:hAnsi="宋体" w:eastAsia="宋体" w:cs="宋体"/>
        </w:rPr>
        <w:t>135</w:t>
      </w:r>
      <w:r>
        <w:rPr>
          <w:rFonts w:hint="eastAsia" w:ascii="宋体" w:hAnsi="宋体" w:eastAsia="宋体" w:cs="宋体"/>
          <w:spacing w:val="-37"/>
        </w:rPr>
        <w:t xml:space="preserve"> 号</w:t>
      </w:r>
      <w:r>
        <w:rPr>
          <w:rFonts w:hint="eastAsia" w:ascii="宋体" w:hAnsi="宋体" w:eastAsia="宋体" w:cs="宋体"/>
          <w:spacing w:val="-21"/>
        </w:rPr>
        <w:t>）</w:t>
      </w:r>
      <w:r>
        <w:rPr>
          <w:rFonts w:hint="eastAsia" w:ascii="宋体" w:hAnsi="宋体" w:eastAsia="宋体" w:cs="宋体"/>
          <w:spacing w:val="-8"/>
        </w:rPr>
        <w:t>基础上，经修改完善，制定了《支出经济分类科目改革方</w:t>
      </w:r>
      <w:r>
        <w:rPr>
          <w:rFonts w:hint="eastAsia" w:ascii="宋体" w:hAnsi="宋体" w:eastAsia="宋体" w:cs="宋体"/>
          <w:spacing w:val="-79"/>
          <w:w w:val="99"/>
        </w:rPr>
        <w:t>案》</w:t>
      </w:r>
      <w:r>
        <w:rPr>
          <w:rFonts w:hint="eastAsia" w:ascii="宋体" w:hAnsi="宋体" w:eastAsia="宋体" w:cs="宋体"/>
          <w:w w:val="99"/>
        </w:rPr>
        <w:t>（</w:t>
      </w:r>
      <w:r>
        <w:rPr>
          <w:rFonts w:hint="eastAsia" w:ascii="宋体" w:hAnsi="宋体" w:eastAsia="宋体" w:cs="宋体"/>
          <w:spacing w:val="-20"/>
          <w:w w:val="99"/>
        </w:rPr>
        <w:t>以下简称《方案》</w:t>
      </w:r>
      <w:r>
        <w:rPr>
          <w:rFonts w:hint="eastAsia" w:ascii="宋体" w:hAnsi="宋体" w:eastAsia="宋体" w:cs="宋体"/>
          <w:spacing w:val="-141"/>
          <w:w w:val="99"/>
        </w:rPr>
        <w:t>）</w:t>
      </w:r>
      <w:r>
        <w:rPr>
          <w:rFonts w:hint="eastAsia" w:ascii="宋体" w:hAnsi="宋体" w:eastAsia="宋体" w:cs="宋体"/>
          <w:spacing w:val="-4"/>
          <w:w w:val="99"/>
        </w:rPr>
        <w:t>，现予印发，自</w:t>
      </w:r>
      <w:r>
        <w:rPr>
          <w:rFonts w:hint="eastAsia" w:ascii="宋体" w:hAnsi="宋体" w:eastAsia="宋体" w:cs="宋体"/>
          <w:spacing w:val="-69"/>
        </w:rPr>
        <w:t xml:space="preserve"> </w:t>
      </w:r>
      <w:r>
        <w:rPr>
          <w:rFonts w:hint="eastAsia" w:ascii="宋体" w:hAnsi="宋体" w:eastAsia="宋体" w:cs="宋体"/>
          <w:w w:val="99"/>
        </w:rPr>
        <w:t>2018</w:t>
      </w:r>
      <w:r>
        <w:rPr>
          <w:rFonts w:hint="eastAsia" w:ascii="宋体" w:hAnsi="宋体" w:eastAsia="宋体" w:cs="宋体"/>
          <w:spacing w:val="-71"/>
        </w:rPr>
        <w:t xml:space="preserve"> </w:t>
      </w:r>
      <w:r>
        <w:rPr>
          <w:rFonts w:hint="eastAsia" w:ascii="宋体" w:hAnsi="宋体" w:eastAsia="宋体" w:cs="宋体"/>
          <w:w w:val="99"/>
        </w:rPr>
        <w:t>年</w:t>
      </w:r>
      <w:r>
        <w:rPr>
          <w:rFonts w:hint="eastAsia" w:ascii="宋体" w:hAnsi="宋体" w:eastAsia="宋体" w:cs="宋体"/>
          <w:spacing w:val="-70"/>
        </w:rPr>
        <w:t xml:space="preserve"> </w:t>
      </w:r>
      <w:r>
        <w:rPr>
          <w:rFonts w:hint="eastAsia" w:ascii="宋体" w:hAnsi="宋体" w:eastAsia="宋体" w:cs="宋体"/>
          <w:w w:val="99"/>
        </w:rPr>
        <w:t>1</w:t>
      </w:r>
      <w:r>
        <w:rPr>
          <w:rFonts w:hint="eastAsia" w:ascii="宋体" w:hAnsi="宋体" w:eastAsia="宋体" w:cs="宋体"/>
          <w:spacing w:val="-70"/>
        </w:rPr>
        <w:t xml:space="preserve"> </w:t>
      </w:r>
      <w:r>
        <w:rPr>
          <w:rFonts w:hint="eastAsia" w:ascii="宋体" w:hAnsi="宋体" w:eastAsia="宋体" w:cs="宋体"/>
          <w:w w:val="99"/>
        </w:rPr>
        <w:t>月</w:t>
      </w:r>
      <w:r>
        <w:rPr>
          <w:rFonts w:hint="eastAsia" w:ascii="宋体" w:hAnsi="宋体" w:eastAsia="宋体" w:cs="宋体"/>
          <w:spacing w:val="-71"/>
        </w:rPr>
        <w:t xml:space="preserve"> </w:t>
      </w:r>
      <w:r>
        <w:rPr>
          <w:rFonts w:hint="eastAsia" w:ascii="宋体" w:hAnsi="宋体" w:eastAsia="宋体" w:cs="宋体"/>
          <w:w w:val="99"/>
        </w:rPr>
        <w:t>1</w:t>
      </w:r>
      <w:r>
        <w:rPr>
          <w:rFonts w:hint="eastAsia" w:ascii="宋体" w:hAnsi="宋体" w:eastAsia="宋体" w:cs="宋体"/>
          <w:spacing w:val="-70"/>
        </w:rPr>
        <w:t xml:space="preserve"> </w:t>
      </w:r>
      <w:r>
        <w:rPr>
          <w:rFonts w:hint="eastAsia" w:ascii="宋体" w:hAnsi="宋体" w:eastAsia="宋体" w:cs="宋体"/>
          <w:w w:val="99"/>
        </w:rPr>
        <w:t>日起正式全面实施。</w:t>
      </w:r>
    </w:p>
    <w:p>
      <w:pPr>
        <w:pStyle w:val="4"/>
        <w:spacing w:before="5" w:line="182" w:lineRule="auto"/>
        <w:ind w:left="578" w:right="551" w:firstLine="56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w w:val="95"/>
        </w:rPr>
        <w:t>支出经济分类科目改革涉及预算管理各个方面，各部门、各地区要高  度重视，切实做好中央部门所属单位、地方各级财政部门改革部署，按照</w:t>
      </w:r>
    </w:p>
    <w:p>
      <w:pPr>
        <w:pStyle w:val="4"/>
        <w:spacing w:before="7" w:line="182" w:lineRule="auto"/>
        <w:ind w:left="578" w:right="552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w w:val="95"/>
        </w:rPr>
        <w:t xml:space="preserve">《方案》要求，认真做好改革后的预算编制、预算执行、决算和会计核算  等预算管理工作，合力推进改革进程，确保改革顺利实施。对执行中发现  </w:t>
      </w:r>
      <w:r>
        <w:rPr>
          <w:rFonts w:hint="eastAsia" w:ascii="宋体" w:hAnsi="宋体" w:eastAsia="宋体" w:cs="宋体"/>
        </w:rPr>
        <w:t>的问题，请及时反馈我部。</w:t>
      </w:r>
    </w:p>
    <w:p>
      <w:pPr>
        <w:pStyle w:val="4"/>
        <w:spacing w:line="502" w:lineRule="exact"/>
        <w:ind w:left="113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特此通知。</w:t>
      </w:r>
    </w:p>
    <w:p>
      <w:pPr>
        <w:pStyle w:val="4"/>
        <w:spacing w:before="18"/>
        <w:rPr>
          <w:rFonts w:hint="eastAsia" w:ascii="宋体" w:hAnsi="宋体" w:eastAsia="宋体" w:cs="宋体"/>
          <w:sz w:val="14"/>
        </w:rPr>
      </w:pPr>
    </w:p>
    <w:p>
      <w:pPr>
        <w:pStyle w:val="4"/>
        <w:ind w:left="113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附件：支出经济分类科目改革方案</w:t>
      </w:r>
    </w:p>
    <w:p>
      <w:pPr>
        <w:spacing w:after="0"/>
        <w:rPr>
          <w:rFonts w:hint="eastAsia" w:ascii="Noto Sans Mono CJK JP Regular" w:eastAsia="Noto Sans Mono CJK JP Regular"/>
        </w:rPr>
        <w:sectPr>
          <w:type w:val="continuous"/>
          <w:pgSz w:w="11910" w:h="16840"/>
          <w:pgMar w:top="1540" w:right="980" w:bottom="280" w:left="840" w:header="720" w:footer="720" w:gutter="0"/>
        </w:sectPr>
      </w:pPr>
    </w:p>
    <w:p>
      <w:pPr>
        <w:pStyle w:val="4"/>
        <w:spacing w:line="427" w:lineRule="exact"/>
        <w:ind w:left="578"/>
        <w:rPr>
          <w:rFonts w:hint="eastAsia" w:ascii="Noto Sans Mono CJK JP Regular" w:eastAsia="Noto Sans Mono CJK JP Regular"/>
        </w:rPr>
      </w:pPr>
      <w:r>
        <w:rPr>
          <w:rFonts w:hint="eastAsia" w:ascii="Noto Sans Mono CJK JP Regular" w:eastAsia="Noto Sans Mono CJK JP Regular"/>
        </w:rPr>
        <w:t>附件</w:t>
      </w:r>
    </w:p>
    <w:p>
      <w:pPr>
        <w:pStyle w:val="2"/>
        <w:spacing w:line="689" w:lineRule="exact"/>
        <w:ind w:left="2953"/>
        <w:jc w:val="left"/>
      </w:pPr>
      <w:r>
        <w:t>支出经济分类科目改革方案</w:t>
      </w:r>
    </w:p>
    <w:p>
      <w:pPr>
        <w:pStyle w:val="4"/>
        <w:spacing w:before="7"/>
        <w:rPr>
          <w:sz w:val="22"/>
        </w:rPr>
      </w:pPr>
    </w:p>
    <w:p>
      <w:pPr>
        <w:pStyle w:val="4"/>
        <w:spacing w:before="21" w:line="184" w:lineRule="auto"/>
        <w:ind w:left="578" w:right="551" w:firstLine="560"/>
        <w:jc w:val="both"/>
        <w:rPr>
          <w:rFonts w:hint="eastAsia" w:ascii="Noto Sans Mono CJK JP Regular" w:eastAsia="Noto Sans Mono CJK JP Regular"/>
        </w:rPr>
      </w:pPr>
      <w:r>
        <w:rPr>
          <w:rFonts w:hint="eastAsia" w:ascii="Noto Sans Mono CJK JP Regular" w:eastAsia="Noto Sans Mono CJK JP Regular"/>
          <w:w w:val="95"/>
        </w:rPr>
        <w:t xml:space="preserve">支出经济分类科目是预算管理的基础，是预算编制、执行、决算、公  开和会计核算的重要工具。为贯彻落实预算法，实施全面规范、公开透明  </w:t>
      </w:r>
      <w:r>
        <w:rPr>
          <w:rFonts w:hint="eastAsia" w:ascii="Noto Sans Mono CJK JP Regular" w:eastAsia="Noto Sans Mono CJK JP Regular"/>
        </w:rPr>
        <w:t>的预算制度，推进预算管理制度改革，现决定改革支出经济分类科目。</w:t>
      </w:r>
    </w:p>
    <w:p>
      <w:pPr>
        <w:pStyle w:val="4"/>
        <w:spacing w:line="419" w:lineRule="exact"/>
        <w:ind w:left="1139"/>
        <w:rPr>
          <w:rFonts w:hint="eastAsia" w:ascii="Noto Sans Mono CJK JP Regular" w:eastAsia="Noto Sans Mono CJK JP Regular"/>
        </w:rPr>
      </w:pPr>
      <w:r>
        <w:rPr>
          <w:rFonts w:hint="eastAsia" w:ascii="Noto Sans Mono CJK JP Regular" w:eastAsia="Noto Sans Mono CJK JP Regular"/>
        </w:rPr>
        <w:t>一、改革的指导思想和基本原则</w:t>
      </w:r>
    </w:p>
    <w:p>
      <w:pPr>
        <w:pStyle w:val="4"/>
        <w:spacing w:line="454" w:lineRule="exact"/>
        <w:ind w:left="1139"/>
        <w:rPr>
          <w:rFonts w:hint="eastAsia" w:ascii="Noto Sans Mono CJK JP Regular" w:eastAsia="Noto Sans Mono CJK JP Regular"/>
        </w:rPr>
      </w:pPr>
      <w:r>
        <w:rPr>
          <w:rFonts w:hint="eastAsia" w:ascii="Noto Sans Mono CJK JP Regular" w:eastAsia="Noto Sans Mono CJK JP Regular"/>
        </w:rPr>
        <w:t>（一）指导思想。</w:t>
      </w:r>
    </w:p>
    <w:p>
      <w:pPr>
        <w:pStyle w:val="4"/>
        <w:spacing w:before="30" w:line="182" w:lineRule="auto"/>
        <w:ind w:left="578" w:right="300" w:firstLine="560"/>
        <w:rPr>
          <w:rFonts w:hint="eastAsia" w:ascii="Noto Sans Mono CJK JP Regular" w:eastAsia="Noto Sans Mono CJK JP Regular"/>
        </w:rPr>
      </w:pPr>
      <w:r>
        <w:rPr>
          <w:rFonts w:hint="eastAsia" w:ascii="Noto Sans Mono CJK JP Regular" w:eastAsia="Noto Sans Mono CJK JP Regular"/>
        </w:rPr>
        <w:t>以预算法</w:t>
      </w:r>
      <w:r>
        <w:rPr>
          <w:rFonts w:hint="eastAsia" w:ascii="Noto Sans Mono CJK JP Regular" w:eastAsia="Noto Sans Mono CJK JP Regular"/>
          <w:spacing w:val="-22"/>
        </w:rPr>
        <w:t>、《国务院关于深化预算管理制度改革的决定》(国发</w:t>
      </w:r>
      <w:r>
        <w:rPr>
          <w:rFonts w:hint="eastAsia" w:ascii="Noto Sans Mono CJK JP Regular" w:eastAsia="Noto Sans Mono CJK JP Regular"/>
        </w:rPr>
        <w:t>(2014)</w:t>
      </w:r>
      <w:r>
        <w:rPr>
          <w:rFonts w:hint="eastAsia" w:ascii="Noto Sans Mono CJK JP Regular" w:eastAsia="Noto Sans Mono CJK JP Regular"/>
          <w:spacing w:val="-74"/>
        </w:rPr>
        <w:t xml:space="preserve"> </w:t>
      </w:r>
      <w:r>
        <w:rPr>
          <w:rFonts w:hint="eastAsia" w:ascii="Noto Sans Mono CJK JP Regular" w:eastAsia="Noto Sans Mono CJK JP Regular"/>
        </w:rPr>
        <w:t>45 号）为指引，按照实施全面规范、公开透明预算制度的总体要求，充分考</w:t>
      </w:r>
      <w:r>
        <w:rPr>
          <w:rFonts w:hint="eastAsia" w:ascii="Noto Sans Mono CJK JP Regular" w:eastAsia="Noto Sans Mono CJK JP Regular"/>
          <w:spacing w:val="-2"/>
          <w:w w:val="95"/>
        </w:rPr>
        <w:t xml:space="preserve">虑政府预算管理和部门预算管理的不同特点和需要，形成既适合我国国情，  </w:t>
      </w:r>
      <w:r>
        <w:rPr>
          <w:rFonts w:hint="eastAsia" w:ascii="Noto Sans Mono CJK JP Regular" w:eastAsia="Noto Sans Mono CJK JP Regular"/>
          <w:spacing w:val="-2"/>
        </w:rPr>
        <w:t>又符合国际通行做法的支出经济分类体系，为进一步深化预算管理制度改革、提高预算透明度、加强人大审计监督创造有利条件。</w:t>
      </w:r>
    </w:p>
    <w:p>
      <w:pPr>
        <w:pStyle w:val="4"/>
        <w:spacing w:line="439" w:lineRule="exact"/>
        <w:ind w:left="1139"/>
        <w:rPr>
          <w:rFonts w:hint="eastAsia" w:ascii="Noto Sans Mono CJK JP Regular" w:eastAsia="Noto Sans Mono CJK JP Regular"/>
        </w:rPr>
      </w:pPr>
      <w:r>
        <w:rPr>
          <w:rFonts w:hint="eastAsia" w:ascii="Noto Sans Mono CJK JP Regular" w:eastAsia="Noto Sans Mono CJK JP Regular"/>
        </w:rPr>
        <w:t>（二）基本原则。</w:t>
      </w:r>
    </w:p>
    <w:p>
      <w:pPr>
        <w:pStyle w:val="4"/>
        <w:spacing w:before="29" w:line="182" w:lineRule="auto"/>
        <w:ind w:left="578" w:right="551" w:firstLine="560"/>
        <w:rPr>
          <w:rFonts w:hint="eastAsia" w:ascii="Noto Sans Mono CJK JP Regular" w:eastAsia="Noto Sans Mono CJK JP Regular"/>
        </w:rPr>
      </w:pPr>
      <w:r>
        <w:rPr>
          <w:rFonts w:hint="eastAsia" w:ascii="Noto Sans Mono CJK JP Regular" w:eastAsia="Noto Sans Mono CJK JP Regular"/>
          <w:w w:val="95"/>
        </w:rPr>
        <w:t xml:space="preserve">依法有据。符合预算法关于支出经济分类的各项要求，确保预算法有  </w:t>
      </w:r>
      <w:r>
        <w:rPr>
          <w:rFonts w:hint="eastAsia" w:ascii="Noto Sans Mono CJK JP Regular" w:eastAsia="Noto Sans Mono CJK JP Regular"/>
        </w:rPr>
        <w:t>关规定能够得到有效贯彻落实。</w:t>
      </w:r>
    </w:p>
    <w:p>
      <w:pPr>
        <w:pStyle w:val="4"/>
        <w:spacing w:before="7" w:line="182" w:lineRule="auto"/>
        <w:ind w:left="578" w:right="551" w:firstLine="560"/>
        <w:jc w:val="both"/>
        <w:rPr>
          <w:rFonts w:hint="eastAsia" w:ascii="Noto Sans Mono CJK JP Regular" w:eastAsia="Noto Sans Mono CJK JP Regular"/>
        </w:rPr>
      </w:pPr>
      <w:r>
        <w:rPr>
          <w:rFonts w:hint="eastAsia" w:ascii="Noto Sans Mono CJK JP Regular" w:eastAsia="Noto Sans Mono CJK JP Regular"/>
          <w:w w:val="95"/>
        </w:rPr>
        <w:t xml:space="preserve">区分特点。根据政府预算管理和部门预算管理的不同特点，完善现有  支出经济分类科目，继续作为部门预算支出经济分类科目，满足部门预算  管理需要；同时，新增一套政府预算支出经济分类科目，进一步提高预算  </w:t>
      </w:r>
      <w:r>
        <w:rPr>
          <w:rFonts w:hint="eastAsia" w:ascii="Noto Sans Mono CJK JP Regular" w:eastAsia="Noto Sans Mono CJK JP Regular"/>
        </w:rPr>
        <w:t>透明度，满足政府预算管理和人大审查预算需要。</w:t>
      </w:r>
    </w:p>
    <w:p>
      <w:pPr>
        <w:pStyle w:val="4"/>
        <w:spacing w:before="11" w:line="182" w:lineRule="auto"/>
        <w:ind w:left="578" w:right="551" w:firstLine="560"/>
        <w:jc w:val="right"/>
        <w:rPr>
          <w:rFonts w:hint="eastAsia" w:ascii="Noto Sans Mono CJK JP Regular" w:eastAsia="Noto Sans Mono CJK JP Regular"/>
        </w:rPr>
      </w:pPr>
      <w:r>
        <w:rPr>
          <w:rFonts w:hint="eastAsia" w:ascii="Noto Sans Mono CJK JP Regular" w:eastAsia="Noto Sans Mono CJK JP Regular"/>
          <w:w w:val="95"/>
        </w:rPr>
        <w:t>推进改革。在政府预算支出经济分类中单独设置机关经费科目，为严  格机关运行支出管理创造有利条件；单独设置对事业单位补助科目，支持  促进事业单位改革；单独设置对企业补助科目，推动加强涉企资金管理。  加强管理。清晰反映预算安排的经常性支出、资本性支出，以及债务</w:t>
      </w:r>
    </w:p>
    <w:p>
      <w:pPr>
        <w:pStyle w:val="4"/>
        <w:spacing w:before="11" w:line="182" w:lineRule="auto"/>
        <w:ind w:left="578" w:right="552"/>
        <w:rPr>
          <w:rFonts w:hint="eastAsia" w:ascii="Noto Sans Mono CJK JP Regular" w:eastAsia="Noto Sans Mono CJK JP Regular"/>
        </w:rPr>
      </w:pPr>
      <w:r>
        <w:rPr>
          <w:rFonts w:hint="eastAsia" w:ascii="Noto Sans Mono CJK JP Regular" w:eastAsia="Noto Sans Mono CJK JP Regular"/>
          <w:w w:val="95"/>
        </w:rPr>
        <w:t xml:space="preserve">还本付息等情况，有利于促进优化支出结构，提升预算管理的科学性、规  </w:t>
      </w:r>
      <w:r>
        <w:rPr>
          <w:rFonts w:hint="eastAsia" w:ascii="Noto Sans Mono CJK JP Regular" w:eastAsia="Noto Sans Mono CJK JP Regular"/>
        </w:rPr>
        <w:t>范性和有效性。</w:t>
      </w:r>
    </w:p>
    <w:p>
      <w:pPr>
        <w:pStyle w:val="4"/>
        <w:spacing w:line="429" w:lineRule="exact"/>
        <w:ind w:left="1139"/>
        <w:rPr>
          <w:rFonts w:hint="eastAsia" w:ascii="Noto Sans Mono CJK JP Regular" w:eastAsia="Noto Sans Mono CJK JP Regular"/>
        </w:rPr>
      </w:pPr>
      <w:r>
        <w:rPr>
          <w:rFonts w:hint="eastAsia" w:ascii="Noto Sans Mono CJK JP Regular" w:eastAsia="Noto Sans Mono CJK JP Regular"/>
        </w:rPr>
        <w:t>二、改革的主要内容</w:t>
      </w:r>
    </w:p>
    <w:p>
      <w:pPr>
        <w:pStyle w:val="4"/>
        <w:spacing w:before="25" w:line="184" w:lineRule="auto"/>
        <w:ind w:left="578" w:right="437" w:firstLine="560"/>
        <w:jc w:val="both"/>
        <w:rPr>
          <w:rFonts w:hint="eastAsia" w:ascii="Noto Sans Mono CJK JP Regular" w:hAnsi="Noto Sans Mono CJK JP Regular" w:eastAsia="Noto Sans Mono CJK JP Regular"/>
        </w:rPr>
      </w:pPr>
      <w:r>
        <w:rPr>
          <w:rFonts w:hint="eastAsia" w:ascii="Noto Sans Mono CJK JP Regular" w:hAnsi="Noto Sans Mono CJK JP Regular" w:eastAsia="Noto Sans Mono CJK JP Regular"/>
          <w:w w:val="105"/>
        </w:rPr>
        <w:t>改革后的支出经济分类包括“政府预算支出经济分类”和“部门预算</w:t>
      </w:r>
      <w:r>
        <w:rPr>
          <w:rFonts w:hint="eastAsia" w:ascii="Noto Sans Mono CJK JP Regular" w:hAnsi="Noto Sans Mono CJK JP Regular" w:eastAsia="Noto Sans Mono CJK JP Regular"/>
          <w:w w:val="99"/>
        </w:rPr>
        <w:t>支出经济分类</w:t>
      </w:r>
      <w:r>
        <w:rPr>
          <w:rFonts w:hint="eastAsia" w:ascii="Noto Sans Mono CJK JP Regular" w:hAnsi="Noto Sans Mono CJK JP Regular" w:eastAsia="Noto Sans Mono CJK JP Regular"/>
          <w:spacing w:val="-141"/>
          <w:w w:val="210"/>
        </w:rPr>
        <w:t>”</w:t>
      </w:r>
      <w:r>
        <w:rPr>
          <w:rFonts w:hint="eastAsia" w:ascii="Noto Sans Mono CJK JP Regular" w:hAnsi="Noto Sans Mono CJK JP Regular" w:eastAsia="Noto Sans Mono CJK JP Regular"/>
          <w:spacing w:val="-5"/>
          <w:w w:val="99"/>
        </w:rPr>
        <w:t>，两套科目之间保持对应关系，以便政府预算和部门预算相</w:t>
      </w:r>
      <w:r>
        <w:rPr>
          <w:rFonts w:hint="eastAsia" w:ascii="Noto Sans Mono CJK JP Regular" w:hAnsi="Noto Sans Mono CJK JP Regular" w:eastAsia="Noto Sans Mono CJK JP Regular"/>
          <w:spacing w:val="-5"/>
          <w:w w:val="115"/>
        </w:rPr>
        <w:t>衔接。</w:t>
      </w:r>
    </w:p>
    <w:p>
      <w:pPr>
        <w:spacing w:after="0" w:line="184" w:lineRule="auto"/>
        <w:jc w:val="both"/>
        <w:rPr>
          <w:rFonts w:hint="eastAsia" w:ascii="Noto Sans Mono CJK JP Regular" w:hAnsi="Noto Sans Mono CJK JP Regular" w:eastAsia="Noto Sans Mono CJK JP Regular"/>
        </w:rPr>
        <w:sectPr>
          <w:pgSz w:w="11910" w:h="16840"/>
          <w:pgMar w:top="1360" w:right="980" w:bottom="1180" w:left="840" w:header="0" w:footer="910" w:gutter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Noto Sans CJK JP Regular">
    <w:altName w:val="Segoe Print"/>
    <w:panose1 w:val="00000000000000000000"/>
    <w:charset w:val="00"/>
    <w:family w:val="swiss"/>
    <w:pitch w:val="default"/>
    <w:sig w:usb0="00000000" w:usb1="00000000" w:usb2="00000000" w:usb3="00000000" w:csb0="00000000" w:csb1="00000000"/>
  </w:font>
  <w:font w:name="Noto Sans Mono CJK JP Regular">
    <w:altName w:val="Segoe Print"/>
    <w:panose1 w:val="00000000000000000000"/>
    <w:charset w:val="00"/>
    <w:family w:val="swiss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B42C73"/>
    <w:rsid w:val="1CB42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nhideWhenUsed="0" w:uiPriority="1" w:semiHidden="0" w:name="heading 8"/>
    <w:lsdException w:qFormat="1" w:unhideWhenUsed="0" w:uiPriority="1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Noto Sans CJK JP Regular" w:hAnsi="Noto Sans CJK JP Regular" w:eastAsia="Noto Sans CJK JP Regular" w:cs="Noto Sans CJK JP Regular"/>
      <w:sz w:val="22"/>
      <w:szCs w:val="22"/>
      <w:lang w:val="zh-CN" w:eastAsia="zh-CN" w:bidi="zh-CN"/>
    </w:rPr>
  </w:style>
  <w:style w:type="paragraph" w:styleId="2">
    <w:name w:val="heading 8"/>
    <w:basedOn w:val="1"/>
    <w:next w:val="1"/>
    <w:qFormat/>
    <w:uiPriority w:val="1"/>
    <w:pPr>
      <w:jc w:val="center"/>
      <w:outlineLvl w:val="8"/>
    </w:pPr>
    <w:rPr>
      <w:rFonts w:ascii="Noto Sans CJK JP Regular" w:hAnsi="Noto Sans CJK JP Regular" w:eastAsia="Noto Sans CJK JP Regular" w:cs="Noto Sans CJK JP Regular"/>
      <w:sz w:val="36"/>
      <w:szCs w:val="36"/>
      <w:lang w:val="zh-CN" w:eastAsia="zh-CN" w:bidi="zh-CN"/>
    </w:rPr>
  </w:style>
  <w:style w:type="paragraph" w:styleId="3">
    <w:name w:val="heading 9"/>
    <w:basedOn w:val="1"/>
    <w:next w:val="1"/>
    <w:qFormat/>
    <w:uiPriority w:val="1"/>
    <w:pPr>
      <w:outlineLvl w:val="9"/>
    </w:pPr>
    <w:rPr>
      <w:rFonts w:ascii="Noto Sans CJK JP Regular" w:hAnsi="Noto Sans CJK JP Regular" w:eastAsia="Noto Sans CJK JP Regular" w:cs="Noto Sans CJK JP Regular"/>
      <w:sz w:val="32"/>
      <w:szCs w:val="32"/>
      <w:lang w:val="zh-CN" w:eastAsia="zh-CN" w:bidi="zh-CN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Noto Sans CJK JP Regular" w:hAnsi="Noto Sans CJK JP Regular" w:eastAsia="Noto Sans CJK JP Regular" w:cs="Noto Sans CJK JP Regular"/>
      <w:sz w:val="28"/>
      <w:szCs w:val="28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2018-12-25T09:45:00Z</dcterms:created>
  <dc:creator>dell</dc:creator>
  <cp:lastModifiedBy>dell</cp:lastModifiedBy>
  <dcterms:modified xsi:type="dcterms:W3CDTF">2018-12-25T09:46:54Z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